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ПРОЕКТ</w:t>
      </w: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</w:t>
      </w:r>
      <w:r>
        <w:rPr>
          <w:b w:val="0"/>
          <w:sz w:val="26"/>
          <w:szCs w:val="26"/>
          <w:lang w:val="ru-RU"/>
        </w:rPr>
        <w:t>САРОВСКОГО</w:t>
      </w:r>
      <w:r>
        <w:rPr>
          <w:b w:val="0"/>
          <w:sz w:val="26"/>
          <w:szCs w:val="26"/>
        </w:rPr>
        <w:t xml:space="preserve">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00.00.2021                                                                                                                     № 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лесного контроля в границах муниципального образования «Саровское сельское поселение»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лесного контроля в границах муниципального образования «Саровское сельское поселение» согласно приложению к настоящему распоряжению.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лесной контроль в границах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распоряжение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Контроль за исполнением настоящего распоряжения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</w:t>
      </w:r>
      <w:r>
        <w:rPr>
          <w:rFonts w:hint="default"/>
          <w:sz w:val="26"/>
          <w:szCs w:val="26"/>
          <w:lang w:val="ru-RU"/>
        </w:rPr>
        <w:t>.Н. Викторов</w:t>
      </w:r>
    </w:p>
    <w:p>
      <w:pPr>
        <w:rPr>
          <w:rFonts w:hint="default"/>
          <w:sz w:val="26"/>
          <w:szCs w:val="26"/>
          <w:lang w:val="ru-RU"/>
        </w:rPr>
      </w:pPr>
    </w:p>
    <w:p>
      <w:pPr>
        <w:rPr>
          <w:rFonts w:hint="default"/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лесного контроля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Муниципальный лесной контроль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Лесным кодексом Российской Федерации;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Совета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7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.2021 № 1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лесном контроле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деятельности в отношении лесных участков, находящихся в  собственности муниципального образования «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Саровское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при осуществлении деятельности в отношении лесных участков, находящихся в собственности муниципального образования «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Саровское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Саровского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профилактических мероприятий, 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95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профилактического мероприятия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на официальном сайте муниципального образования «Саровское 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лесного контроля в границах муниципального образования «Саровское сельское поселение».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лесного контроля в границах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Саровское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«Саровское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2B0142"/>
    <w:rsid w:val="002C70F4"/>
    <w:rsid w:val="00331C0B"/>
    <w:rsid w:val="00367FBB"/>
    <w:rsid w:val="00386247"/>
    <w:rsid w:val="0045763F"/>
    <w:rsid w:val="00484D28"/>
    <w:rsid w:val="004A72BF"/>
    <w:rsid w:val="004B50C4"/>
    <w:rsid w:val="004C7B23"/>
    <w:rsid w:val="004F4E12"/>
    <w:rsid w:val="00500352"/>
    <w:rsid w:val="006F0FB2"/>
    <w:rsid w:val="00783613"/>
    <w:rsid w:val="007D41EC"/>
    <w:rsid w:val="00815C32"/>
    <w:rsid w:val="00816158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442C"/>
    <w:rsid w:val="00A95D8D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A3DF3"/>
    <w:rsid w:val="00DB3E10"/>
    <w:rsid w:val="00DD332F"/>
    <w:rsid w:val="00DE06D4"/>
    <w:rsid w:val="00E343B6"/>
    <w:rsid w:val="00E602CD"/>
    <w:rsid w:val="00E73F4D"/>
    <w:rsid w:val="00E96432"/>
    <w:rsid w:val="00EA4D0B"/>
    <w:rsid w:val="00EB1942"/>
    <w:rsid w:val="00EB59D2"/>
    <w:rsid w:val="00ED3579"/>
    <w:rsid w:val="00FC2337"/>
    <w:rsid w:val="00FE3986"/>
    <w:rsid w:val="00FF7FA4"/>
    <w:rsid w:val="5C1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1242</Words>
  <Characters>7085</Characters>
  <Lines>59</Lines>
  <Paragraphs>16</Paragraphs>
  <TotalTime>5</TotalTime>
  <ScaleCrop>false</ScaleCrop>
  <LinksUpToDate>false</LinksUpToDate>
  <CharactersWithSpaces>8311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2021-09-17T13:07:00Z</dcterms:created>
  <dc:creator>User</dc:creator>
  <cp:lastModifiedBy>User</cp:lastModifiedBy>
  <cp:lastPrinted>2021-04-05T10:21:00Z</cp:lastPrinted>
  <dcterms:modified xsi:type="dcterms:W3CDTF">2021-09-28T08:25:56Z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5BF4A0D709CC47238F9E2F55BE2F717C</vt:lpwstr>
  </property>
</Properties>
</file>