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rFonts w:hint="default"/>
          <w:b w:val="0"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проект</w:t>
      </w:r>
    </w:p>
    <w:p>
      <w:pPr>
        <w:pStyle w:val="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АДМИНИСТРАЦИЯ САРОВСКОГО СЕЛЬСКОГО ПОСЕЛЕНИЯ</w:t>
      </w:r>
    </w:p>
    <w:p>
      <w:pPr>
        <w:spacing w:after="480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КОЛПАШЕВСКОГО РАЙОНА ТОМСКОЙ ОБЛАСТИ</w:t>
      </w:r>
    </w:p>
    <w:p>
      <w:pPr>
        <w:pStyle w:val="2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>
      <w:pPr>
        <w:spacing w:after="480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>00</w:t>
      </w:r>
      <w:r>
        <w:rPr>
          <w:sz w:val="26"/>
          <w:szCs w:val="26"/>
          <w:lang w:val="ru-RU"/>
        </w:rPr>
        <w:t>.</w:t>
      </w:r>
      <w:r>
        <w:rPr>
          <w:rFonts w:hint="default"/>
          <w:sz w:val="26"/>
          <w:szCs w:val="26"/>
          <w:lang w:val="ru-RU"/>
        </w:rPr>
        <w:t>00</w:t>
      </w:r>
      <w:r>
        <w:rPr>
          <w:sz w:val="26"/>
          <w:szCs w:val="26"/>
          <w:lang w:val="ru-RU"/>
        </w:rPr>
        <w:t>.202</w:t>
      </w:r>
      <w:r>
        <w:rPr>
          <w:rFonts w:hint="default"/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№ </w:t>
      </w:r>
      <w:r>
        <w:rPr>
          <w:rFonts w:hint="default"/>
          <w:sz w:val="26"/>
          <w:szCs w:val="26"/>
          <w:lang w:val="ru-RU"/>
        </w:rPr>
        <w:t>00</w:t>
      </w:r>
    </w:p>
    <w:p>
      <w:pPr>
        <w:jc w:val="center"/>
        <w:rPr>
          <w:sz w:val="26"/>
          <w:szCs w:val="26"/>
          <w:lang w:val="ru-RU"/>
        </w:rPr>
      </w:pPr>
      <w:bookmarkStart w:id="0" w:name="_GoBack"/>
      <w:r>
        <w:rPr>
          <w:sz w:val="26"/>
          <w:szCs w:val="26"/>
          <w:lang w:val="ru-RU"/>
        </w:rPr>
        <w:t>Об утверждении программы профилактики рисков причинения вреда (ущерба) охраняемым законом ценностям на 2023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год в сфере муниципального жилищного контроля</w:t>
      </w:r>
    </w:p>
    <w:bookmarkEnd w:id="0"/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2023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год в сфере муниципального жилищного контроля согласно приложению к настоящему постановлению.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Должностным лицам, уполномоченным осуществлять муниципальный жилищный контроль на территории муниципального образования «Саровское сельское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Настоящее постановление вступает в силу с даты его подписания.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Контроль за исполнением настоящего постановления оставляю за собой.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поселения                                                                                          В.Н. Викторов</w:t>
      </w:r>
    </w:p>
    <w:p>
      <w:pPr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Постановлением Администрации 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 сельского поселения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.1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.202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№ 105</w:t>
      </w:r>
    </w:p>
    <w:p>
      <w:pPr>
        <w:ind w:left="284" w:firstLine="283"/>
        <w:rPr>
          <w:rStyle w:val="17"/>
          <w:rFonts w:eastAsia="Arial Unicode MS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</w:t>
      </w:r>
      <w:r>
        <w:rPr>
          <w:rFonts w:ascii="Times New Roman" w:hAnsi="Times New Roman"/>
          <w:sz w:val="28"/>
          <w:szCs w:val="28"/>
          <w:lang w:val="ru-RU"/>
        </w:rPr>
        <w:t>2023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год в сфере муниципального жилищного контроля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Глава 1. Анализ текущего состояния осуществления контроля, </w:t>
      </w:r>
    </w:p>
    <w:p>
      <w:pPr>
        <w:pStyle w:val="14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hAnsi="Times New Roman"/>
          <w:bCs/>
          <w:color w:val="111111"/>
          <w:sz w:val="28"/>
          <w:szCs w:val="28"/>
        </w:rPr>
        <w:t>в целях снижения рисков причинения ущерба муниципальному жилищному фонду.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Программа профилактики разработана на </w:t>
      </w:r>
      <w:r>
        <w:rPr>
          <w:rFonts w:ascii="Times New Roman" w:hAnsi="Times New Roman"/>
          <w:bCs/>
          <w:color w:val="111111"/>
          <w:sz w:val="28"/>
          <w:szCs w:val="28"/>
          <w:lang w:val="ru-RU"/>
        </w:rPr>
        <w:t>2023</w:t>
      </w:r>
      <w:r>
        <w:rPr>
          <w:rFonts w:hint="default" w:ascii="Times New Roman" w:hAnsi="Times New Roman"/>
          <w:bCs/>
          <w:color w:val="1111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>год.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Муниципальный жилищный контроль осуществляется в соответствии с: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Жилищным кодексом Российской Федерации;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Госстроя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от 27 сентября 2003 г. № 170 «Об утверждении Правил и норм технической эксплуатации жилищного фонда»;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Решением Совета Саровского сельского поселения от 01.07.2021 № 132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жилищном контроле в границах муниципального образования «Саровское сельское поселение».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 В 202</w:t>
      </w:r>
      <w:r>
        <w:rPr>
          <w:rFonts w:hint="default" w:ascii="Times New Roman" w:hAnsi="Times New Roman"/>
          <w:bCs/>
          <w:color w:val="111111"/>
          <w:sz w:val="28"/>
          <w:szCs w:val="28"/>
          <w:lang w:val="ru-RU"/>
        </w:rPr>
        <w:t>2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году плановые и внеплановые проверки в рамках муниципального контроля не осуществлялись. 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 «Саровское сельское поселение».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6. В рамках профилактики предупреждения нарушений, установленных законодательством всех уровней, Администрацией Саровского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>
      <w:pPr>
        <w:pStyle w:val="1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color w:val="000000"/>
        </w:rPr>
      </w:pPr>
    </w:p>
    <w:p>
      <w:pPr>
        <w:pStyle w:val="14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9. Задачами программы являются: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Выявление причин, факторов и условий, способствующих нарушениям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>
      <w:pPr>
        <w:jc w:val="right"/>
        <w:rPr>
          <w:lang w:val="ru-RU"/>
        </w:rPr>
      </w:pPr>
    </w:p>
    <w:p>
      <w:pPr>
        <w:pStyle w:val="14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>
      <w:pPr>
        <w:rPr>
          <w:sz w:val="24"/>
          <w:szCs w:val="24"/>
          <w:lang w:val="ru-RU"/>
        </w:rPr>
      </w:pP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678"/>
        <w:gridCol w:w="181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0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«Саровское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15 дней с даты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по вопросам ЖКХ, благоустройства, имущественным и земельным отношениям Лутчикова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>
            <w:pPr>
              <w:pStyle w:val="15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Ежедневно, в течение года с понедельника по пятницу с 9:00 до 17:00 часов, обед с 13:00 до 14:00 часов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по вопросам ЖКХ, благоустройства, имущественным и земельным отношениям Лутчикова Н.В.</w:t>
            </w:r>
          </w:p>
        </w:tc>
      </w:tr>
    </w:tbl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>
      <w:pPr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11. 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2023год.</w:t>
      </w:r>
    </w:p>
    <w:tbl>
      <w:tblPr>
        <w:tblStyle w:val="4"/>
        <w:tblW w:w="9668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6877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«Саровское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7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>
      <w:pPr>
        <w:ind w:firstLine="709"/>
        <w:rPr>
          <w:color w:val="000000"/>
          <w:sz w:val="28"/>
          <w:szCs w:val="28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sectPr>
      <w:headerReference r:id="rId3" w:type="default"/>
      <w:footerReference r:id="rId4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3699"/>
    <w:rsid w:val="00064907"/>
    <w:rsid w:val="00085FBC"/>
    <w:rsid w:val="00097466"/>
    <w:rsid w:val="000E70AC"/>
    <w:rsid w:val="0010593D"/>
    <w:rsid w:val="00110C5F"/>
    <w:rsid w:val="00111BBB"/>
    <w:rsid w:val="001673B4"/>
    <w:rsid w:val="0018541F"/>
    <w:rsid w:val="001B0EA6"/>
    <w:rsid w:val="001B669A"/>
    <w:rsid w:val="001D4071"/>
    <w:rsid w:val="00267861"/>
    <w:rsid w:val="00273F59"/>
    <w:rsid w:val="002B70B1"/>
    <w:rsid w:val="002E5B8D"/>
    <w:rsid w:val="00331C0B"/>
    <w:rsid w:val="00345C52"/>
    <w:rsid w:val="00367FBB"/>
    <w:rsid w:val="00386247"/>
    <w:rsid w:val="0045763F"/>
    <w:rsid w:val="004750AE"/>
    <w:rsid w:val="004A72BF"/>
    <w:rsid w:val="004B50C4"/>
    <w:rsid w:val="004C7B23"/>
    <w:rsid w:val="004F4E12"/>
    <w:rsid w:val="00500352"/>
    <w:rsid w:val="006F0FB2"/>
    <w:rsid w:val="00704B7C"/>
    <w:rsid w:val="00713662"/>
    <w:rsid w:val="007D41EC"/>
    <w:rsid w:val="008526DF"/>
    <w:rsid w:val="008B1204"/>
    <w:rsid w:val="008B6867"/>
    <w:rsid w:val="00937B90"/>
    <w:rsid w:val="00951BD1"/>
    <w:rsid w:val="00962458"/>
    <w:rsid w:val="00975CAB"/>
    <w:rsid w:val="00990AE9"/>
    <w:rsid w:val="009B401C"/>
    <w:rsid w:val="009D1594"/>
    <w:rsid w:val="00A31F57"/>
    <w:rsid w:val="00A53F7D"/>
    <w:rsid w:val="00A8528D"/>
    <w:rsid w:val="00A95D8D"/>
    <w:rsid w:val="00B1669A"/>
    <w:rsid w:val="00BA7A29"/>
    <w:rsid w:val="00BE11CC"/>
    <w:rsid w:val="00BF6E21"/>
    <w:rsid w:val="00C02607"/>
    <w:rsid w:val="00C11D72"/>
    <w:rsid w:val="00C463DB"/>
    <w:rsid w:val="00C46636"/>
    <w:rsid w:val="00C565AA"/>
    <w:rsid w:val="00DA3DF3"/>
    <w:rsid w:val="00DB3E10"/>
    <w:rsid w:val="00DE06D4"/>
    <w:rsid w:val="00E343B6"/>
    <w:rsid w:val="00E73F4D"/>
    <w:rsid w:val="00E96432"/>
    <w:rsid w:val="00EA4D0B"/>
    <w:rsid w:val="00EB59D2"/>
    <w:rsid w:val="00EB73E9"/>
    <w:rsid w:val="00ED3579"/>
    <w:rsid w:val="00FE3986"/>
    <w:rsid w:val="34DC2B24"/>
    <w:rsid w:val="78A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1"/>
    <w:link w:val="10"/>
    <w:qFormat/>
    <w:uiPriority w:val="99"/>
    <w:pPr>
      <w:jc w:val="center"/>
    </w:pPr>
    <w:rPr>
      <w:b/>
      <w:sz w:val="32"/>
      <w:lang w:val="ru-RU"/>
    </w:rPr>
  </w:style>
  <w:style w:type="paragraph" w:styleId="8">
    <w:name w:val="footer"/>
    <w:basedOn w:val="1"/>
    <w:link w:val="13"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1 Знак"/>
    <w:link w:val="2"/>
    <w:locked/>
    <w:uiPriority w:val="99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10">
    <w:name w:val="Название Знак"/>
    <w:link w:val="7"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Текст выноски Знак"/>
    <w:link w:val="5"/>
    <w:semiHidden/>
    <w:locked/>
    <w:uiPriority w:val="99"/>
    <w:rPr>
      <w:rFonts w:ascii="Tahoma" w:hAnsi="Tahoma" w:cs="Tahoma"/>
      <w:sz w:val="16"/>
      <w:szCs w:val="16"/>
      <w:lang w:val="en-US" w:eastAsia="ru-RU"/>
    </w:rPr>
  </w:style>
  <w:style w:type="character" w:customStyle="1" w:styleId="12">
    <w:name w:val="Верхний колонтитул Знак"/>
    <w:link w:val="6"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Нижний колонтитул Знак"/>
    <w:link w:val="8"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paragraph" w:styleId="1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5">
    <w:name w:val="ConsPlusNormal"/>
    <w:link w:val="16"/>
    <w:uiPriority w:val="0"/>
    <w:pPr>
      <w:widowControl w:val="0"/>
      <w:autoSpaceDE w:val="0"/>
      <w:autoSpaceDN w:val="0"/>
    </w:pPr>
    <w:rPr>
      <w:rFonts w:ascii="Calibri" w:hAnsi="Calibri" w:eastAsia="Times New Roman" w:cs="Times New Roman"/>
      <w:sz w:val="22"/>
      <w:lang w:val="ru-RU" w:eastAsia="ru-RU" w:bidi="ar-SA"/>
    </w:rPr>
  </w:style>
  <w:style w:type="character" w:customStyle="1" w:styleId="16">
    <w:name w:val="ConsPlusNormal Знак"/>
    <w:link w:val="15"/>
    <w:locked/>
    <w:uiPriority w:val="0"/>
    <w:rPr>
      <w:rFonts w:eastAsia="Times New Roman"/>
      <w:sz w:val="22"/>
    </w:rPr>
  </w:style>
  <w:style w:type="character" w:customStyle="1" w:styleId="17">
    <w:name w:val="Основной текст (2)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1488</Words>
  <Characters>8487</Characters>
  <Lines>70</Lines>
  <Paragraphs>19</Paragraphs>
  <TotalTime>54</TotalTime>
  <ScaleCrop>false</ScaleCrop>
  <LinksUpToDate>false</LinksUpToDate>
  <CharactersWithSpaces>9956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2021-09-17T12:14:00Z</dcterms:created>
  <dc:creator>User</dc:creator>
  <cp:lastModifiedBy>User</cp:lastModifiedBy>
  <cp:lastPrinted>2021-04-05T10:21:00Z</cp:lastPrinted>
  <dcterms:modified xsi:type="dcterms:W3CDTF">2022-10-13T08:47:04Z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51CB14715BDF4E92AD3C198EC9385A3A</vt:lpwstr>
  </property>
</Properties>
</file>